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21DF" w14:textId="77777777" w:rsidR="00907400" w:rsidRDefault="00907400" w:rsidP="00B933C6">
      <w:pPr>
        <w:rPr>
          <w:rFonts w:ascii="Arial" w:hAnsi="Arial" w:cs="Arial"/>
        </w:rPr>
      </w:pPr>
    </w:p>
    <w:p w14:paraId="60CC6B18" w14:textId="77777777" w:rsidR="00B933C6" w:rsidRDefault="00B933C6" w:rsidP="00B933C6"/>
    <w:tbl>
      <w:tblPr>
        <w:tblStyle w:val="TaulukkoRuudukko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B933C6" w14:paraId="3E6DE456" w14:textId="77777777" w:rsidTr="00B933C6">
        <w:trPr>
          <w:trHeight w:val="65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5A4" w14:textId="77777777" w:rsidR="00B933C6" w:rsidRDefault="00B933C6" w:rsidP="00346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RAKENNUKSEN KORJAUS- JA MUUTOSTYÖN ENERGIASELVITYS</w:t>
            </w:r>
          </w:p>
          <w:p w14:paraId="248909F7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HANKETIEDOT</w:t>
            </w:r>
          </w:p>
          <w:p w14:paraId="385003DA" w14:textId="77777777" w:rsidR="00B933C6" w:rsidRDefault="00B933C6" w:rsidP="003467FD">
            <w:pPr>
              <w:rPr>
                <w:rFonts w:ascii="Arial" w:hAnsi="Arial" w:cs="Arial"/>
              </w:rPr>
            </w:pPr>
          </w:p>
          <w:p w14:paraId="70B081BB" w14:textId="77777777" w:rsidR="00B933C6" w:rsidRDefault="00B933C6" w:rsidP="003467FD">
            <w:pPr>
              <w:rPr>
                <w:rFonts w:ascii="Arial" w:hAnsi="Arial" w:cs="Arial"/>
              </w:rPr>
            </w:pPr>
          </w:p>
        </w:tc>
      </w:tr>
      <w:tr w:rsidR="00B933C6" w14:paraId="0553387B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565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Lupatunnus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Rakennustunnus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Päivämäärä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" w:name="Teksti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933C6" w14:paraId="79A79960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706B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Kohteen osoite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933C6" w14:paraId="6BFBEC1D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F648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Pääsuunnittelija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933C6" w14:paraId="5C1B992A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0B13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Allekirjoitus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933C6" w14:paraId="2256B4EB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21E" w14:textId="12BB2F1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Energiaselvityksen laatija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 w:rsidR="00F5086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933C6" w14:paraId="601FEBC8" w14:textId="77777777" w:rsidTr="00B933C6">
        <w:trPr>
          <w:trHeight w:val="213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1CD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33C6" w14:paraId="38147103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50AA" w14:textId="77777777" w:rsidR="00B933C6" w:rsidRDefault="00B933C6" w:rsidP="00346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VALITTU ENERGIATEHOKKUUDEN PARANTAMISVAIHTOEHTO</w:t>
            </w:r>
          </w:p>
        </w:tc>
      </w:tr>
      <w:tr w:rsidR="00B933C6" w14:paraId="7AD5DE44" w14:textId="77777777" w:rsidTr="00B933C6">
        <w:trPr>
          <w:trHeight w:val="1023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F1C" w14:textId="77777777" w:rsidR="00B933C6" w:rsidRPr="00BF4609" w:rsidRDefault="00B933C6" w:rsidP="003467FD">
            <w:pPr>
              <w:rPr>
                <w:rFonts w:ascii="Arial" w:hAnsi="Arial" w:cs="Arial"/>
                <w:sz w:val="16"/>
                <w:szCs w:val="16"/>
              </w:rPr>
            </w:pPr>
            <w:r w:rsidRPr="00BF4609">
              <w:rPr>
                <w:rFonts w:ascii="Arial" w:hAnsi="Arial" w:cs="Arial"/>
                <w:sz w:val="16"/>
                <w:szCs w:val="16"/>
              </w:rPr>
              <w:t>Suluissa olevat pykälät viittaavat ympäristöministeriön asetukseen 4/13.</w:t>
            </w:r>
          </w:p>
          <w:p w14:paraId="52C1BF6E" w14:textId="77777777" w:rsidR="00B933C6" w:rsidRDefault="00F50866" w:rsidP="003467F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-3205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C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33C6">
              <w:t xml:space="preserve"> </w:t>
            </w:r>
            <w:r w:rsidR="00B9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3C6">
              <w:rPr>
                <w:rFonts w:ascii="Arial" w:hAnsi="Arial" w:cs="Arial"/>
                <w:b/>
                <w:bCs/>
              </w:rPr>
              <w:t>1.</w:t>
            </w:r>
            <w:r w:rsidR="00B933C6">
              <w:t xml:space="preserve">  </w:t>
            </w:r>
            <w:r w:rsidR="00B933C6">
              <w:rPr>
                <w:rFonts w:ascii="Arial" w:hAnsi="Arial" w:cs="Arial"/>
                <w:b/>
                <w:sz w:val="20"/>
                <w:szCs w:val="20"/>
              </w:rPr>
              <w:t>RAKENNUSOSAKOHTAISET ENERGIATEHOKKUUSVAATIMUKSET (4 §)</w:t>
            </w:r>
          </w:p>
          <w:p w14:paraId="6DD9C9E2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t xml:space="preserve">            </w:t>
            </w:r>
            <w:r>
              <w:rPr>
                <w:rFonts w:ascii="Arial" w:hAnsi="Arial" w:cs="Arial"/>
              </w:rPr>
              <w:t xml:space="preserve">Alkuperäiset ja korjattavat/uusittavat rakennusosat U-arvoineen (W/m²K)   </w:t>
            </w:r>
          </w:p>
          <w:p w14:paraId="5722DBA9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08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Ulkoseinä, alkuperäinen U-arvo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" w:name="Teksti3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F51C645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471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Yläpohja,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uusi U-arvo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2F304A24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717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Alapohja,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2" w:name="Teksti3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3" w:name="Teksti3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6A991154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81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Ikkunat, alkuperäinen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4" w:name="Teksti3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5" w:name="Teksti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0D3AC3F2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863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Ulko-ovet, alkuperäinen U-arvo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uusi U-arvo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7" w:name="Teksti3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  <w:p w14:paraId="227BDB21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924E05" w14:textId="77777777" w:rsidR="00B933C6" w:rsidRDefault="00B933C6" w:rsidP="003467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162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RAKENNUKSEN STANDARDIKÄYTTÖÖN PERUSTUVA ENERGIANKULUTUS (6 §)</w:t>
            </w:r>
          </w:p>
          <w:p w14:paraId="7BC7BECD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FA606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Rakennusluokka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18"/>
          </w:p>
          <w:p w14:paraId="5CC10F37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7571A56B" w14:textId="77777777" w:rsidR="00B933C6" w:rsidRDefault="00B933C6" w:rsidP="003467FD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MT" w:hAnsi="ArialMT" w:cs="ArialMT"/>
                <w:sz w:val="20"/>
                <w:szCs w:val="20"/>
              </w:rPr>
              <w:t>Laskettu standardikäytön kulutus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MT" w:hAnsi="ArialMT" w:cs="ArialMT"/>
                <w:sz w:val="16"/>
                <w:szCs w:val="16"/>
              </w:rPr>
              <w:t xml:space="preserve"> kWh/m²</w:t>
            </w:r>
          </w:p>
          <w:p w14:paraId="23E3DE0D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1638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STANDARDIKÄYTTÖÖN PERUSTUVA KOKONAISENERGIANKULUTUS, E-LUKU (7 §)</w:t>
            </w:r>
          </w:p>
          <w:p w14:paraId="77CA6D04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2BC5198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Rakennusluokka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rPr>
                <w:rFonts w:ascii="ArialMT" w:hAnsi="ArialMT" w:cs="ArialMT"/>
                <w:sz w:val="16"/>
                <w:szCs w:val="16"/>
              </w:rPr>
              <w:instrText xml:space="preserve"> FORMTEXT </w:instrText>
            </w:r>
            <w:r>
              <w:rPr>
                <w:rFonts w:ascii="ArialMT" w:hAnsi="ArialMT" w:cs="ArialMT"/>
                <w:sz w:val="16"/>
                <w:szCs w:val="16"/>
              </w:rPr>
            </w:r>
            <w:r>
              <w:rPr>
                <w:rFonts w:ascii="ArialMT" w:hAnsi="ArialMT" w:cs="ArialMT"/>
                <w:sz w:val="16"/>
                <w:szCs w:val="16"/>
              </w:rPr>
              <w:fldChar w:fldCharType="separate"/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noProof/>
                <w:sz w:val="16"/>
                <w:szCs w:val="16"/>
              </w:rPr>
              <w:t> </w:t>
            </w:r>
            <w:r>
              <w:rPr>
                <w:rFonts w:ascii="ArialMT" w:hAnsi="ArialMT" w:cs="ArialMT"/>
                <w:sz w:val="16"/>
                <w:szCs w:val="16"/>
              </w:rPr>
              <w:fldChar w:fldCharType="end"/>
            </w:r>
            <w:bookmarkEnd w:id="20"/>
          </w:p>
          <w:p w14:paraId="4372340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F42C969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Alkuperäinen E-luku  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 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MT" w:hAnsi="ArialMT" w:cs="ArialMT"/>
                <w:sz w:val="20"/>
                <w:szCs w:val="20"/>
              </w:rPr>
              <w:t xml:space="preserve"> kWhE/m²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E-luku esitettyjen korjausten jälkeen 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rPr>
                <w:rFonts w:ascii="ArialMT" w:hAnsi="ArialMT" w:cs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 w:cs="ArialMT"/>
                <w:sz w:val="20"/>
                <w:szCs w:val="20"/>
              </w:rPr>
            </w:r>
            <w:r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 xml:space="preserve">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MT" w:hAnsi="ArialMT" w:cs="ArialMT"/>
                <w:sz w:val="20"/>
                <w:szCs w:val="20"/>
              </w:rPr>
              <w:t xml:space="preserve"> kWhE/m²</w:t>
            </w:r>
          </w:p>
          <w:p w14:paraId="103584F5" w14:textId="77777777" w:rsidR="00B933C6" w:rsidRDefault="00F50866" w:rsidP="003467F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891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C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4.    TEKNISTEN JÄRJESTELMIEN VAATIMUKSET (5 §)</w:t>
            </w:r>
          </w:p>
          <w:p w14:paraId="703A6D3D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</w:p>
          <w:p w14:paraId="0C7DACE2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MT" w:hAnsi="ArialMT" w:cs="ArialMT"/>
                <w:sz w:val="16"/>
                <w:szCs w:val="16"/>
              </w:rPr>
              <w:t>Vaatimuksia sovelletaan sekä uusittaessa taloteknisiä järjestelmiä (4) että em. korjausvaihtoehdoissa 1, 2 ja 3.</w:t>
            </w:r>
          </w:p>
          <w:p w14:paraId="4C5E06FC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520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LTO:n laskettu/testattu vuosihyötysuhde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    %</w:t>
            </w:r>
          </w:p>
          <w:p w14:paraId="4E3EC3D1" w14:textId="77777777" w:rsidR="00B933C6" w:rsidRDefault="00B933C6" w:rsidP="003467FD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898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Ilmastointijärjestelmän arvioitu ominaissähköteho (SFP-luku)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MT" w:hAnsi="ArialMT" w:cs="ArialMT"/>
                <w:sz w:val="16"/>
                <w:szCs w:val="16"/>
              </w:rPr>
              <w:t>kW/m³s</w:t>
            </w:r>
          </w:p>
          <w:p w14:paraId="58EB13B3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98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Lämmitysjärjestelmän hyötysuhteen parantaminen</w:t>
            </w:r>
          </w:p>
          <w:p w14:paraId="4D5F8DA6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647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Huoneistokohtaisten vesimittarien asentaminen</w:t>
            </w:r>
          </w:p>
          <w:p w14:paraId="65C9E80D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987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Muu teknisen järjestelmän parannus: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0DD83742" w14:textId="77777777" w:rsidR="00B933C6" w:rsidRDefault="00B933C6" w:rsidP="003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33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2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Teknisiin järjestelmiin ei tule muutoksia</w:t>
            </w:r>
          </w:p>
          <w:p w14:paraId="3ACC8E1B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48550" w14:textId="77777777" w:rsidR="00B933C6" w:rsidRDefault="00B933C6" w:rsidP="003467FD">
            <w:pPr>
              <w:rPr>
                <w:rFonts w:ascii="ArialMT" w:hAnsi="ArialMT" w:cs="ArialMT"/>
                <w:sz w:val="19"/>
                <w:szCs w:val="19"/>
              </w:rPr>
            </w:pPr>
            <w: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30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Pr="00E90304">
              <w:rPr>
                <w:rFonts w:ascii="ArialMT" w:hAnsi="ArialMT" w:cs="ArialMT"/>
                <w:b/>
                <w:bCs/>
                <w:sz w:val="19"/>
                <w:szCs w:val="19"/>
              </w:rPr>
              <w:t>ENERGIATEHOKKUUDEN PARANTAMISVELVOLLISUUS EI KOSKE HANKETTA, KOSKA:</w:t>
            </w:r>
          </w:p>
          <w:p w14:paraId="152B304C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45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MT" w:hAnsi="ArialMT" w:cs="ArialMT"/>
                <w:sz w:val="16"/>
                <w:szCs w:val="16"/>
              </w:rPr>
              <w:t>Rakennus on suojeltu (1 §). Miltä osin:</w:t>
            </w:r>
          </w:p>
          <w:p w14:paraId="34E88C1B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65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MT" w:hAnsi="ArialMT" w:cs="ArialMT"/>
                <w:sz w:val="16"/>
                <w:szCs w:val="16"/>
              </w:rPr>
              <w:t>tai muu ympäristöministeriön asetuksen 4/13 1 §:n mukainen peruste:</w:t>
            </w:r>
          </w:p>
          <w:p w14:paraId="5853BFFF" w14:textId="77777777" w:rsidR="00B933C6" w:rsidRDefault="00B933C6" w:rsidP="003467FD">
            <w:pPr>
              <w:rPr>
                <w:rFonts w:ascii="ArialMT" w:hAnsi="ArialMT" w:cs="ArialMT"/>
                <w:sz w:val="19"/>
                <w:szCs w:val="19"/>
              </w:rPr>
            </w:pPr>
          </w:p>
          <w:p w14:paraId="1FF991D3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SELVITYKSET JA LIITTEET</w:t>
            </w:r>
          </w:p>
          <w:p w14:paraId="445C0C9E" w14:textId="77777777" w:rsidR="00B933C6" w:rsidRDefault="00B933C6" w:rsidP="003467F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461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16"/>
                <w:szCs w:val="16"/>
              </w:rPr>
              <w:t>Selvitys aiemmin tehdyistä energiatehokkuutta parantavista toimenpiteistä, jotka halutaan ottaa huomioon (9 §)</w:t>
            </w:r>
          </w:p>
          <w:p w14:paraId="1A5CCF62" w14:textId="77777777" w:rsidR="00B933C6" w:rsidRDefault="00B933C6" w:rsidP="00346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428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Selvitys ilmanvaihdon oikeasta toiminnasta ja korvausilman saannista (12 §)</w:t>
            </w:r>
          </w:p>
          <w:p w14:paraId="758CAF1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83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Selvitys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MT" w:hAnsi="ArialMT" w:cs="ArialMT"/>
                <w:sz w:val="16"/>
                <w:szCs w:val="16"/>
              </w:rPr>
              <w:t>jos hankkeessa vedotaan energiatehokkuutta parantavien toimenpiteiden tekniseen, toiminnalliseen ja</w:t>
            </w:r>
          </w:p>
          <w:p w14:paraId="312663BE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  taloudelliseen toteutettavuuteen (MRL 117 g §)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28CD4E0F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851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MT" w:hAnsi="ArialMT" w:cs="ArialMT"/>
                <w:sz w:val="16"/>
                <w:szCs w:val="16"/>
              </w:rPr>
              <w:t xml:space="preserve"> Arviointi uuden tai uusittavan lämmitysjärjestelmän toteutettavuudesta (MRL 117 h §)</w:t>
            </w:r>
          </w:p>
          <w:p w14:paraId="67386DB6" w14:textId="77777777" w:rsidR="00B933C6" w:rsidRDefault="00B933C6" w:rsidP="00346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0387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Muu selvitys tai liite (esim. energiatodistus):</w:t>
            </w:r>
          </w:p>
        </w:tc>
      </w:tr>
      <w:tr w:rsidR="00B933C6" w14:paraId="5DF4A3C9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CE045" w14:textId="77777777" w:rsidR="00B933C6" w:rsidRDefault="00B933C6" w:rsidP="003467FD"/>
        </w:tc>
      </w:tr>
      <w:tr w:rsidR="00B933C6" w14:paraId="5C40B759" w14:textId="77777777" w:rsidTr="00B933C6">
        <w:trPr>
          <w:trHeight w:val="256"/>
        </w:trPr>
        <w:tc>
          <w:tcPr>
            <w:tcW w:w="9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C4571" w14:textId="77777777" w:rsidR="00B933C6" w:rsidRDefault="00B933C6" w:rsidP="003467FD"/>
        </w:tc>
      </w:tr>
      <w:tr w:rsidR="00B933C6" w14:paraId="1C0065F7" w14:textId="77777777" w:rsidTr="00B933C6">
        <w:trPr>
          <w:trHeight w:val="1430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9C6AD1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EC454C" w14:textId="77777777" w:rsidR="00B933C6" w:rsidRPr="00E24D7C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D7C">
              <w:rPr>
                <w:rFonts w:ascii="Arial" w:hAnsi="Arial" w:cs="Arial"/>
                <w:b/>
                <w:bCs/>
                <w:sz w:val="18"/>
                <w:szCs w:val="18"/>
              </w:rPr>
              <w:t>Otteita ympäristöministeriön asetuksesta 4/13:</w:t>
            </w:r>
          </w:p>
          <w:p w14:paraId="242B2F9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1§ Soveltamisala</w:t>
            </w:r>
          </w:p>
          <w:p w14:paraId="27CD18B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 – Rakennuksia, joita asetus ei koske, ovat:</w:t>
            </w:r>
          </w:p>
          <w:p w14:paraId="023AA13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rakennukset niiltä osin, kun ne on suojeltu ja määräyksien noudattaminen</w:t>
            </w:r>
          </w:p>
          <w:p w14:paraId="1E47884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aiheuttaisi suojeltuihin osiin muutoksia, joita ei voida pitää</w:t>
            </w:r>
          </w:p>
          <w:p w14:paraId="3945039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hyväksyttävinä;</w:t>
            </w:r>
          </w:p>
          <w:p w14:paraId="27A6730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tuotantorakennukset, joissa tuotantoprosessi luovuttaa niin suuren</w:t>
            </w:r>
          </w:p>
          <w:p w14:paraId="37975A2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määrän lämpöenergiaa, että halutun huonelämpötilan aikaansaamiseen</w:t>
            </w:r>
          </w:p>
          <w:p w14:paraId="4469C9F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 tarvita ollenkaan tai tarvitaan vain vähäisessä määrin muuta</w:t>
            </w:r>
          </w:p>
          <w:p w14:paraId="29757C4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lämmitysenergiaa, tai tuotantotilat, joissa lämmityskauden ulkopuolella</w:t>
            </w:r>
          </w:p>
          <w:p w14:paraId="1B2E1D3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runsas lämmöneristys nostaisi haitallisesti huonelämpötilaa tai</w:t>
            </w:r>
          </w:p>
          <w:p w14:paraId="53249EC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lisäisi oleellisesti jäähdytysenergian kulutusta;</w:t>
            </w:r>
          </w:p>
          <w:p w14:paraId="3EEB13A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rakennukset, joiden pinta-ala on enintään 50 m²;</w:t>
            </w:r>
          </w:p>
          <w:p w14:paraId="5B5EAB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muut kuin asuinkäyttöön tarkoitetut maatalousrakennukset, joissa</w:t>
            </w:r>
          </w:p>
          <w:p w14:paraId="59DB2EE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energiankäyttö on vähäinen;</w:t>
            </w:r>
          </w:p>
          <w:p w14:paraId="48A235A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kasvihuoneet, väestönsuojat tai muut rakennukset, joiden käyttö</w:t>
            </w:r>
          </w:p>
          <w:p w14:paraId="11F1C95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alkuperäiseen käyttötarkoitukseensa vaikeutuisi kohtuuttomasti</w:t>
            </w:r>
          </w:p>
          <w:p w14:paraId="03C628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tämän asetuksen mukaisia energiatehokkuuden parantamisvaatimuksia</w:t>
            </w:r>
          </w:p>
          <w:p w14:paraId="6401610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noudatettaessa;</w:t>
            </w:r>
          </w:p>
          <w:p w14:paraId="23F4395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loma-asunnot, joihin ei ole suunniteltu kokovuotiseen käyttöön</w:t>
            </w:r>
          </w:p>
          <w:p w14:paraId="6B48726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tarkoitettua lämmitysjärjestelmää;</w:t>
            </w:r>
          </w:p>
          <w:p w14:paraId="5558E0C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määräajan paikallaan pystytettävät siirtokelpoiset rakennukset,</w:t>
            </w:r>
          </w:p>
          <w:p w14:paraId="4DB4481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joiden käyttötarkoitus ei siirron yhteydessä olennaisesti muutu;</w:t>
            </w:r>
          </w:p>
          <w:p w14:paraId="183DDE9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rakennukset, joita käytetään hartauden harjoittamiseen ja uskonnolliseen</w:t>
            </w:r>
          </w:p>
          <w:p w14:paraId="1890161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toimintaan.</w:t>
            </w:r>
          </w:p>
          <w:p w14:paraId="6AACAA7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 § Laskentaperiaatteet</w:t>
            </w:r>
          </w:p>
          <w:p w14:paraId="7D14EBA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Rakennusosiin tai teknisiin järjestelmiin kohdistuvien rakennuksen</w:t>
            </w:r>
          </w:p>
          <w:p w14:paraId="26A13DA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energiatehokkuutta parantavien toimenpiteiden kokonaan tai osittain</w:t>
            </w:r>
          </w:p>
          <w:p w14:paraId="12C6534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tekemättä jättämistä voidaan kompensoida tekemällä muut toteutettavat</w:t>
            </w:r>
          </w:p>
          <w:p w14:paraId="5D75CC6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toimenpiteet vaatimusten mukainen taso ylittäen. – –</w:t>
            </w:r>
          </w:p>
          <w:p w14:paraId="0B3007D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 § Rakennusosakohtaiset vaatimukset</w:t>
            </w:r>
          </w:p>
          <w:p w14:paraId="4CAA0E0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32E85E6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rakennusosakohtaisesti, on noudatettava seuraavia</w:t>
            </w:r>
          </w:p>
          <w:p w14:paraId="177B9DE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vaatimuksia;</w:t>
            </w:r>
          </w:p>
          <w:p w14:paraId="7C651E4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Ulkoseinä: Alkuperäinen U-arvo x 0,5, kuitenkin enintään 0.17</w:t>
            </w:r>
          </w:p>
          <w:p w14:paraId="4E484E1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W/(m²K). Rakennuksen käyttötarkoituksen muutoksen yhteydessä</w:t>
            </w:r>
          </w:p>
          <w:p w14:paraId="46E85AD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alkuperäinen U-arvo x 0,5, kuitenkin 0,60 W/(m²K) tai parempi.</w:t>
            </w:r>
          </w:p>
          <w:p w14:paraId="5AF2A4F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Yläpohja: Alkuperäinen U-arvo x 0,5, kuitenkin enintään 0.09</w:t>
            </w:r>
          </w:p>
          <w:p w14:paraId="29AF083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W/(m²K). Rakennuksen käyttötarkoituksen muutoksen yhteydessä</w:t>
            </w:r>
          </w:p>
          <w:p w14:paraId="3ADB358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alkuperäinen U-arvo x 0,5, kuitenkin 0,60 W/(m²K) tai parempi.</w:t>
            </w:r>
          </w:p>
          <w:p w14:paraId="06A1F03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Alapohja: Energiatehokkuutta parannetaan mahdollisuuksien</w:t>
            </w:r>
          </w:p>
          <w:p w14:paraId="0D8A065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mukaan.</w:t>
            </w:r>
          </w:p>
          <w:p w14:paraId="0322EC1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Uusien ikkunoiden ja ulko-ovien U-arvon on oltava 1.0 W/(m²K) tai</w:t>
            </w:r>
          </w:p>
          <w:p w14:paraId="6DC7DAB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parempi. Vanhoja ikkunoita ja ulko-ovia korjattaessa on lämmönpitävyyttä</w:t>
            </w:r>
          </w:p>
          <w:p w14:paraId="271E665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parannettava mahdollisuuksien mukaan.</w:t>
            </w:r>
          </w:p>
          <w:p w14:paraId="5448E98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 § Teknisten järjestelmien vaatimukset</w:t>
            </w:r>
          </w:p>
          <w:p w14:paraId="0C32C1C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teknisiä järjestelmiä peruskorjataan, uudistetaan</w:t>
            </w:r>
          </w:p>
          <w:p w14:paraId="124170F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 uusitaan, on noudatettava seuraavia vaatimuksia;</w:t>
            </w:r>
          </w:p>
          <w:p w14:paraId="7397CD5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Rakennuksen ilmanvaihdon poistoilmasta on otettava lämpöä</w:t>
            </w:r>
          </w:p>
          <w:p w14:paraId="21AD1DA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talteen lämpömäärä, joka vastaa vähintään 45 % ilmanvaihdon</w:t>
            </w:r>
          </w:p>
          <w:p w14:paraId="09577F8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lämmityksen tarvitsemasta lämpömäärästä eli lämmön talteenoton</w:t>
            </w:r>
          </w:p>
          <w:p w14:paraId="7CC48BE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vuosihyötysuhteen on oltava vähintään 45 %.</w:t>
            </w:r>
          </w:p>
          <w:p w14:paraId="1B36F9C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Koneellisen tulo- ja poistoilmajärjestelmän ominaissähköteho saa</w:t>
            </w:r>
          </w:p>
          <w:p w14:paraId="2719F6D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olla enintään 2,0 kW/(m³/s).</w:t>
            </w:r>
          </w:p>
          <w:p w14:paraId="2A1EF63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Koneellisen poistoilmajärjestelmän ominaissähköteho saa olla</w:t>
            </w:r>
          </w:p>
          <w:p w14:paraId="00D75AB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enintään 1,0 kW/(m³/s).</w:t>
            </w:r>
          </w:p>
          <w:p w14:paraId="60C0F38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Ilmastointijärjestelmän ominaissähköteho saa olla enintään 2,5</w:t>
            </w:r>
          </w:p>
          <w:p w14:paraId="654C61D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kW/(m³/s).</w:t>
            </w:r>
          </w:p>
          <w:p w14:paraId="3E52061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Lämmitysjärjestelmien hyötysuhdetta parannetaan laitteiden ja</w:t>
            </w:r>
          </w:p>
          <w:p w14:paraId="6BC1694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järjestelmien uusimisen yhteydessä mahdollisuuksien mukaan.</w:t>
            </w:r>
          </w:p>
          <w:p w14:paraId="75F1252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Vesi- ja/tai viemärijärjestelmien uusimiseen sovelletaan, mitä</w:t>
            </w:r>
          </w:p>
          <w:p w14:paraId="3F2B515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uudisrakentamisesta säädetään.</w:t>
            </w:r>
          </w:p>
          <w:p w14:paraId="7BDB458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 § Energiankulutusvaatimukset rakennusluokittain</w:t>
            </w:r>
          </w:p>
          <w:p w14:paraId="260803B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1C8481D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rakennuksen standardikäyttöön perustuvaa energiankulutusta</w:t>
            </w:r>
          </w:p>
          <w:p w14:paraId="2275EB9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pienentämällä, on rakennusluokittain noudatettava</w:t>
            </w:r>
          </w:p>
          <w:p w14:paraId="20DB316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seuraavia energiankulutuksen vaatimuksia:</w:t>
            </w:r>
          </w:p>
          <w:p w14:paraId="140335C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Pien-, rivi- ja ketjutalo ≤ 180 kWh/m²</w:t>
            </w:r>
          </w:p>
          <w:p w14:paraId="5A33DD3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Asuinkerrostalo ≤ 130 kWh/m²</w:t>
            </w:r>
          </w:p>
          <w:p w14:paraId="12B9E4A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Toimisto ≤ 145 kWh/m²</w:t>
            </w:r>
          </w:p>
          <w:p w14:paraId="00862042" w14:textId="77777777" w:rsidR="00B933C6" w:rsidRDefault="00B933C6" w:rsidP="003467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4)Opetusrakennus ≤ 150 kWh/m²</w:t>
            </w:r>
          </w:p>
          <w:p w14:paraId="349036EE" w14:textId="77777777" w:rsidR="00B933C6" w:rsidRDefault="00B933C6" w:rsidP="003467F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B980FB9" w14:textId="77777777" w:rsidR="00B933C6" w:rsidRDefault="00B933C6" w:rsidP="0034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Lisätiedot: www.korjaustieto.fi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39FE13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</w:p>
          <w:p w14:paraId="178FFB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Päiväkoti ≤ 150 kWh/m²</w:t>
            </w:r>
          </w:p>
          <w:p w14:paraId="09B3DB0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Liikerakennus ≤ 180 kWh/m²</w:t>
            </w:r>
          </w:p>
          <w:p w14:paraId="53E6BE2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Majoitusliikerakennus ≤ 180 kWh/m²</w:t>
            </w:r>
          </w:p>
          <w:p w14:paraId="561A94A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Muu liikuntahalli kuin jää- ja uimahalli ≤ 170 kWh/m²</w:t>
            </w:r>
          </w:p>
          <w:p w14:paraId="54C4E98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9) Sairaala ≤ 370 kWh/m²</w:t>
            </w:r>
          </w:p>
          <w:p w14:paraId="2141039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 § E-luku-vaatimus rakennusluokittain</w:t>
            </w:r>
          </w:p>
          <w:p w14:paraId="5632ABB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Kun rakennuksen energiatehokkuuden parantamisen suunnittelu ja</w:t>
            </w:r>
          </w:p>
          <w:p w14:paraId="70F3583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toteutus tapahtuu rakennuksen standardikäyttöön perustuvaa kokonaisenergiankulutusta</w:t>
            </w:r>
          </w:p>
          <w:p w14:paraId="428CE93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(E-luku, kWh/m²) pienentämällä, on laskettava</w:t>
            </w:r>
          </w:p>
          <w:p w14:paraId="32DAA5C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rakennukselle ominainen rakennusluokan mukainen kulutus seuraavien</w:t>
            </w:r>
          </w:p>
          <w:p w14:paraId="0916F79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kaavojen mukaisesti:</w:t>
            </w:r>
          </w:p>
          <w:p w14:paraId="512476E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Pien-, rivi- ja ketjutalo: E-vaadittu ≤ 0,8 x E-laskettu</w:t>
            </w:r>
          </w:p>
          <w:p w14:paraId="7EF348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Asuinkerrostalo: E-vaadittu ≤ 0,85 x E-laskettu</w:t>
            </w:r>
          </w:p>
          <w:p w14:paraId="5635020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Toimisto: E-vaadittu ≤ 0,7 x E-laskettu</w:t>
            </w:r>
          </w:p>
          <w:p w14:paraId="4A9AB3E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4) Opetusrakennus: E-vaadittu ≤ 0,8 x E-laskettu</w:t>
            </w:r>
          </w:p>
          <w:p w14:paraId="2BF4B96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 Päiväkoti: E-vaadittu ≤ 0,8 x E-laskettu</w:t>
            </w:r>
          </w:p>
          <w:p w14:paraId="667A64E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6) Liikerakennus: E-vaadittu ≤ 0,7 x E-laskettu</w:t>
            </w:r>
          </w:p>
          <w:p w14:paraId="007D2D9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7) Majoitusliikerakennus: E-vaadittu ≤ 0,7 x E-laskettu</w:t>
            </w:r>
          </w:p>
          <w:p w14:paraId="5D4A9427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8) Muu liikuntahalli kuin jää- ja uimahalli: E-vaadittu ≤ 0,8 x E-laskettu</w:t>
            </w:r>
          </w:p>
          <w:p w14:paraId="1122930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9) Sairaala: E-vaadittu ≤ 0,8 x E-laskettu</w:t>
            </w:r>
          </w:p>
          <w:p w14:paraId="766E75C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 § Vaihtoehtoiset tavat energiatehokkuuden parantamiseksi</w:t>
            </w:r>
          </w:p>
          <w:p w14:paraId="06AA8E5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Luvanvaraiseen rakennushankkeeseen ryhtyvän on valittava rakennusosien</w:t>
            </w:r>
          </w:p>
          <w:p w14:paraId="5823A17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 rakennuksen energiatehokkuuden parantamiseksi jokin</w:t>
            </w:r>
          </w:p>
          <w:p w14:paraId="69F5D70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seuraavista vaihtoehdoista:</w:t>
            </w:r>
          </w:p>
          <w:p w14:paraId="1746F30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1) rakennus täyttää peruskorjattavien, uudistettavien ja uusien rakennusosien</w:t>
            </w:r>
          </w:p>
          <w:p w14:paraId="17E4F71B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osalta 4 §:ssä säädetyt rakennusosakohtaiset vaatimukset;</w:t>
            </w:r>
          </w:p>
          <w:p w14:paraId="45E891D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 rakennuksen energiankulutus on enintään 6 §:ssä säädettyjen</w:t>
            </w:r>
          </w:p>
          <w:p w14:paraId="062EAB9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vaatimusten mukainen;</w:t>
            </w:r>
          </w:p>
          <w:p w14:paraId="477956D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3) rakennuksen kokonaisenergiankulutus on enintään 7 §:ssä säädettyjen</w:t>
            </w:r>
          </w:p>
          <w:p w14:paraId="150606B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vaatimusten mukainen.</w:t>
            </w:r>
          </w:p>
          <w:p w14:paraId="233BAD2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Rakennuksen teknisten järjestelmien peruskorjauksessa, uudistamisessa</w:t>
            </w:r>
          </w:p>
          <w:p w14:paraId="436ED73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 uusimisessa sovelletaan 5 §:n mukaisia vaatimuksia riippumatta</w:t>
            </w:r>
          </w:p>
          <w:p w14:paraId="0E42F9E1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rakennusosaa tai rakennusta koskevan 1 momentissa tarkoitetun</w:t>
            </w:r>
          </w:p>
          <w:p w14:paraId="3A78D640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vaihtoehdon valinnasta.</w:t>
            </w:r>
          </w:p>
          <w:p w14:paraId="48C020D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 § Energiatehokkuuden parantaminen usean korjauksen yhteisvaikutuksena</w:t>
            </w:r>
          </w:p>
          <w:p w14:paraId="0DB92F9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 rakennushankkeeseen ryhtyvä on valinnut 8 §:n 1 momentin 2 tai</w:t>
            </w:r>
          </w:p>
          <w:p w14:paraId="1463E9B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kohdassa mainitun vaihtoehdon, rakennuksen energiatehokkuuden</w:t>
            </w:r>
          </w:p>
          <w:p w14:paraId="5809988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parantamisesta rakennuksen korjausten yhteisvaikutuksena on</w:t>
            </w:r>
          </w:p>
          <w:p w14:paraId="032D295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laadittava suunnitelma. – – Suunnitelmaan voidaan tehdä tarvittavat</w:t>
            </w:r>
          </w:p>
          <w:p w14:paraId="7698C91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muutokset seuraavissa vaiheissa.</w:t>
            </w:r>
          </w:p>
          <w:p w14:paraId="5E66B42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Rakennushankkeeseen ryhtyvän on rakennuksen energiatehokkuutta</w:t>
            </w:r>
          </w:p>
          <w:p w14:paraId="2519E2E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yhteisvaikutuksena parantavien korjausten suunnittelun yhteydessä</w:t>
            </w:r>
          </w:p>
          <w:p w14:paraId="6D22B49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esitettävä energiatehokkuutta parantavien toimenpiteiden kokonaisvaikutus.</w:t>
            </w:r>
          </w:p>
          <w:p w14:paraId="6777350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Kokonaisvaikutusta ei tarvitse arvioida erikseen, jos rakennushankkeessa</w:t>
            </w:r>
          </w:p>
          <w:p w14:paraId="63398F6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noudatetaan rakennusosakohtaisesti 4 §:ssä säädettyjä</w:t>
            </w:r>
          </w:p>
          <w:p w14:paraId="3240328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 ja teknisten järjestelmien osalta 5 §:ssä säädettyjä</w:t>
            </w:r>
          </w:p>
          <w:p w14:paraId="63DFF88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vaatimuksia sellaisenaan tai viranomaislupaa edellyttävän korjauksen</w:t>
            </w:r>
          </w:p>
          <w:p w14:paraId="224F354E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yhteydessä tehtävän energiatehokkuuden parannuksen vaikutus</w:t>
            </w:r>
          </w:p>
          <w:p w14:paraId="53BCC36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rakennuksen energiatehokkuuteen on vähäinen tai olematon.</w:t>
            </w:r>
          </w:p>
          <w:p w14:paraId="0BA05C79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 rakennuksen omistaja parantaa rakennuksen energiatehokkuutta</w:t>
            </w:r>
          </w:p>
          <w:p w14:paraId="2208479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lupaa edellyttämättömän suunnitelmallisen huollon, korjauksen tai</w:t>
            </w:r>
          </w:p>
          <w:p w14:paraId="32AEC66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ylläpidon yhteydessä, voidaan näiden toimenpiteiden vaikutus ottaa</w:t>
            </w:r>
          </w:p>
          <w:p w14:paraId="75FDCB0F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huomioon myöhemmin toteutettavaa hanketta koskevan luvan hakemisen</w:t>
            </w:r>
          </w:p>
          <w:p w14:paraId="2463EB6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yhteydessä.</w:t>
            </w:r>
          </w:p>
          <w:p w14:paraId="284A5FBA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 § Teknisten järjestelmien toiminnan varmistaminen</w:t>
            </w:r>
          </w:p>
          <w:p w14:paraId="48473AD6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Rakennushankkeeseen ryhtyvän on rakennuksen vaipan tai sen</w:t>
            </w:r>
          </w:p>
          <w:p w14:paraId="6FA8FC88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merkittävän osan lisälämmöneristämisen tai ilmanpitävyyden parantamisen</w:t>
            </w:r>
          </w:p>
          <w:p w14:paraId="40ECD09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taikka ikkunoiden uusimisen tai niiden energiatehokkuuden</w:t>
            </w:r>
          </w:p>
          <w:p w14:paraId="580BDD64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parantamisen yhteydessä tai ilmanvaihtoa parantavien toimenpiteiden</w:t>
            </w:r>
          </w:p>
          <w:p w14:paraId="5A3934AC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jälkeen todennettavasti varmistettava lämmitys- ja ilmanvaihtojärjestelmän</w:t>
            </w:r>
          </w:p>
          <w:p w14:paraId="5FA6812D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oikea ja energiatehokas toiminta sekä tehtävä tarpeellisin</w:t>
            </w:r>
          </w:p>
          <w:p w14:paraId="11B67B42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osin taloteknisten järjestelmien tasapainotus ja säätö.</w:t>
            </w:r>
          </w:p>
          <w:p w14:paraId="20A359A3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Todennus tehdyistä toimenpiteistä esitetään rakennusvalvontaviranomaiselle</w:t>
            </w:r>
          </w:p>
          <w:p w14:paraId="35B280B5" w14:textId="77777777" w:rsidR="00B933C6" w:rsidRDefault="00B933C6" w:rsidP="003467F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luvanvaraisen työn loppukatselmuksen yhteydessä.</w:t>
            </w:r>
          </w:p>
        </w:tc>
      </w:tr>
    </w:tbl>
    <w:p w14:paraId="63FD4275" w14:textId="77777777" w:rsidR="00907400" w:rsidRDefault="00907400" w:rsidP="00B933C6">
      <w:pPr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4C195891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184D68">
      <w:rPr>
        <w:rFonts w:ascii="Arial" w:eastAsia="Calibri" w:hAnsi="Arial" w:cs="Arial"/>
        <w:sz w:val="16"/>
        <w:szCs w:val="16"/>
        <w:lang w:eastAsia="en-US"/>
      </w:rPr>
      <w:t>Rantasalmen kunta, Poikkitie 2, 58901 Rantasalmi</w:t>
    </w: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48A6D6C1" w:rsid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 w:rsidRPr="00C76A6E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0B1B951" wp14:editId="30B230C3">
          <wp:simplePos x="0" y="0"/>
          <wp:positionH relativeFrom="margin">
            <wp:posOffset>-427990</wp:posOffset>
          </wp:positionH>
          <wp:positionV relativeFrom="paragraph">
            <wp:posOffset>342265</wp:posOffset>
          </wp:positionV>
          <wp:extent cx="1259840" cy="381000"/>
          <wp:effectExtent l="0" t="0" r="0" b="0"/>
          <wp:wrapTight wrapText="bothSides">
            <wp:wrapPolygon edited="0">
              <wp:start x="0" y="0"/>
              <wp:lineTo x="0" y="20520"/>
              <wp:lineTo x="21230" y="20520"/>
              <wp:lineTo x="21230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3CBA0D8E" w:rsidR="00C76A6E" w:rsidRPr="00DE20F8" w:rsidRDefault="000D6F9F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C57B37" wp14:editId="2F7BD489">
          <wp:simplePos x="0" y="0"/>
          <wp:positionH relativeFrom="column">
            <wp:posOffset>780415</wp:posOffset>
          </wp:positionH>
          <wp:positionV relativeFrom="paragraph">
            <wp:posOffset>2540</wp:posOffset>
          </wp:positionV>
          <wp:extent cx="1080000" cy="406800"/>
          <wp:effectExtent l="0" t="0" r="6350" b="0"/>
          <wp:wrapTight wrapText="bothSides">
            <wp:wrapPolygon edited="0">
              <wp:start x="0" y="0"/>
              <wp:lineTo x="0" y="20250"/>
              <wp:lineTo x="21346" y="20250"/>
              <wp:lineTo x="21346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81603"/>
    <w:rsid w:val="002E35E1"/>
    <w:rsid w:val="00357507"/>
    <w:rsid w:val="00393EFF"/>
    <w:rsid w:val="003B1418"/>
    <w:rsid w:val="004F4B49"/>
    <w:rsid w:val="00570FC7"/>
    <w:rsid w:val="00666454"/>
    <w:rsid w:val="00754A3E"/>
    <w:rsid w:val="007B10C4"/>
    <w:rsid w:val="007D682A"/>
    <w:rsid w:val="00827A8C"/>
    <w:rsid w:val="008B4A85"/>
    <w:rsid w:val="00907400"/>
    <w:rsid w:val="00947F3B"/>
    <w:rsid w:val="009D5B3D"/>
    <w:rsid w:val="00A3375F"/>
    <w:rsid w:val="00A44F21"/>
    <w:rsid w:val="00A77BD0"/>
    <w:rsid w:val="00AA103F"/>
    <w:rsid w:val="00AB56AE"/>
    <w:rsid w:val="00B933C6"/>
    <w:rsid w:val="00BC5A38"/>
    <w:rsid w:val="00BD3C57"/>
    <w:rsid w:val="00C026E1"/>
    <w:rsid w:val="00C76A6E"/>
    <w:rsid w:val="00DC20EA"/>
    <w:rsid w:val="00DE20F8"/>
    <w:rsid w:val="00DF672B"/>
    <w:rsid w:val="00E325DE"/>
    <w:rsid w:val="00E32E50"/>
    <w:rsid w:val="00E72D44"/>
    <w:rsid w:val="00EB271A"/>
    <w:rsid w:val="00EB3C6B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1154</Words>
  <Characters>9350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10484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4</cp:revision>
  <cp:lastPrinted>2015-02-02T12:07:00Z</cp:lastPrinted>
  <dcterms:created xsi:type="dcterms:W3CDTF">2022-12-05T07:18:00Z</dcterms:created>
  <dcterms:modified xsi:type="dcterms:W3CDTF">2022-12-08T07:12:00Z</dcterms:modified>
</cp:coreProperties>
</file>